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瞎眼人的需要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耶穌經過的時候，看見一個生來瞎眼的人。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門徒問耶穌說，拉比，是誰犯了罪，叫這人生來就瞎眼？是這人，還是他父母？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耶穌回答說，不是這人犯了罪，也不是他父母犯了罪，乃是要在他身上顯明神的作為。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趁著白晝，我們必須作那差我來者的工，黑夜一到，就沒有人能作工了。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我在世界的時候，是世界的光。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祂說了這話，就吐唾沫在地上，用唾沫和泥，抹在瞎子的眼睛上，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對他說，你往西羅亞池子裡去洗。（西羅亞繙出來，就是奉差遣。）他去一洗，回來的時候，就看見了。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他的鄰舍和那先前見他是討飯的，就說，這不是那素常坐著討飯的人麼？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有的說，就是他。又有的說，不是，卻是像他。他自己說，是我。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於是他們對他說，你的眼睛是怎麼開的？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他回答說，那名叫耶穌的人，和泥抹我的眼睛，對我說，你往西羅亞池子去洗，我去一洗，就看見了。（約九1～11）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主耶穌怎樣使人能看見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天，主耶穌怎樣開了那個瞎子的眼睛，叫他能看見呢？當祂說過祂要作神差祂來作的工－就是開人的眼睛，叫人能看見－和祂是世上的光以後，祂就吐唾沫在地上，用唾沫和泥抹那個瞎子的眼睛，再叫他往西羅亞池子去洗。這事乍看好像沒有什麼意義，但細讀就能看出，這事是非常有意義的。你若從主耶穌在上面所說的話，一直領會下來，你就能找出這件事的屬靈寓意。這至少有四個重點：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第一，這個唾沫是從主耶穌裡面吐出來的。這表明，這個東西是從主耶穌裡面出來的，或說是從祂的口裡出來的。所以這個東西乃是象徵主耶穌口裡所出的話。約翰六章六十三節說，主耶穌的話就是靈，就是生命。所以這唾沫也就是表明主生命的話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第二，那個泥土乃是指著我們人說的。因為聖經說，人是用土造的。所以主耶穌的唾沫和到泥裡面，就是表明祂的話調到我們這些屬土的人裡面來了。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第三，就是抹在瞎了的眼睛上。在原文聖經裡，這個『抹』字，乃是塗抹膏油的抹。這就是指著聖靈作膏油來塗抹我們說的。當主耶穌的話進到我們裡面，和我們調和的時候，還得有聖靈來塗抹，還得讓聖靈在我們裡面運行，還得讓聖靈把這個調和抹在我們失明的地方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總之，這段故事的屬靈寓意就是說，我們要叫裡面的眼睛得開，總得先有這三步：頭一步，有主耶穌的話進到我們裡面。第二步，讓主耶穌的話在我們裡面起調和的作用。第三步，讓聖靈在我們裡面塗抹。我們在讀聖經，看屬靈的書報，或聽道以後，若能靜默一些時候，把所聽見所看見的，一再反覆思想，主耶穌的話就能起調和的作用，同時聖靈也就能在我們裡面，來塗抹我們。聖靈這樣在我們裡面抹一抹，運行運行，我們裡面就明亮了。比方主耶穌在約翰八章十二節說，『我是世界的光；跟從我的，就不在黑暗裡走，必要得著生命的光。』這是主耶穌的話。但是可能有人讀了好幾遍，卻沒有讓主耶穌這話進到他裡面調和，所以他還看不見這話的實際。若是有人在讀這話的時候，能花一點時間，把這話默想一下，主耶穌這話就能在他裡面起調和的作用，聖靈也就能跟著來塗抹，他裡面也能馬上就明亮了，知道他原是在黑暗裡，現在得著主耶穌生命的光照了。但光有這三步，還不夠，還必須有第四步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第四，要到西羅亞池子裡去洗。『西羅亞』就是奉差遣的意思，所以也就是聽命順服的意思。既是這樣聽命順服，也就必定是相信。所以這個去洗，就是信而順服。當日那個瞎子抹上了泥巴，若不去西羅亞池子洗掉，那就是瞎上加瞎。照樣，我們聽了主耶穌的話，也有了聖靈的塗抹，若不隨著信而順服，也必定更加不能看見。就如前面所引主耶穌所說那句『跟從我的，就不在黑暗裡走』的話，你聽明白了，但是你不信，也不順服。你想這不過是耶穌的說法，人今天活在世上，怎能脫離黑暗？這就是你不肯到西羅亞池子去洗。結果你就要更加瞎眼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有的人好像他不讀聖經還清楚一點，越讀聖經越糊塗。這就是因為他讀了，聖靈也作工了，他卻不信，不接受，更不肯順服。他只肯讓主和泥抹他的眼睛，卻不肯到西羅亞池子去洗，他不肯受差遣，不肯聽命順服，結果就是更瞎眼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天，主吩咐那個瞎眼的人到西羅亞池子去洗，在當時看，也許並沒有什麼意思，因為猶太地有水的地方很多，何必一定要到西羅亞池子去洗呢？這是試驗他肯否順服。他順服了，眼睛就開啟了。在今天，主給我們的命令，在我們也是試驗，雖然我們也會看作沒有什麼意思，但我們若肯順服，眼睛就會明亮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當日那個瞎眼的人，到了西羅亞池子還不夠，還要下手把那些泥巴洗掉，把那些泥巴都埋在那池子的水裡。請記得，那些泥巴就是代表我們人的自己。到西羅亞池子去把那些泥巴洗掉，屬靈的意思，就是我們信而順服，把自己擺在死地。到這時候，我們裡面的眼睛定規明亮，定規能看見屬靈的事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好多人讀聖經，卻不讓聖經的話在他們裡面調和。或者讓聖經的話調和了，卻不讓聖靈來運行塗抹。有的讓聖靈運行塗抹了，卻不肯信而順服，還保留自己這塊泥巴，不肯洗到池子裡去。所以他們裡面的眼睛，還是瞎的，還是不明亮。那個泥巴，就成了他裡面眼睛上的帕子。他那個自己，他那個泥巴人，就是那個帕子，遮蔽了他裡面的眼睛，使他不能看見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到西羅亞池子去洗，既是信而順服，也就是象徵受浸。受浸就是包括信而順服的意思。你信主了麼？你接受主了麼？主說，好，你受浸去。你說，我去。這就是信而順服。當你去受浸的時候，聖經告訴我們說，乃是把你這個舊人埋在水裡。（羅六4，6。）所以那就是你不保留自己，把自己擺在死地。這樣，你裡面的眼睛定規能明亮，定規能看見屬靈的事。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問題：在我們的經歷中，甚麼是屬靈的瞎眼？又如何經歷主的醫治?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參讀：變死亡為生命，第八章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